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84" w:rsidRPr="00FA2AEA" w:rsidRDefault="00ED4484" w:rsidP="00ED4484">
      <w:pPr>
        <w:jc w:val="center"/>
        <w:rPr>
          <w:rFonts w:ascii="標楷體" w:eastAsia="標楷體" w:hAnsi="標楷體"/>
          <w:sz w:val="32"/>
          <w:szCs w:val="32"/>
        </w:rPr>
      </w:pPr>
      <w:r w:rsidRPr="00FA2AEA">
        <w:rPr>
          <w:rFonts w:ascii="標楷體" w:eastAsia="標楷體" w:hAnsi="標楷體" w:hint="eastAsia"/>
          <w:bCs/>
          <w:sz w:val="32"/>
          <w:szCs w:val="32"/>
        </w:rPr>
        <w:t>國立虎尾科技大學</w:t>
      </w:r>
      <w:r w:rsidRPr="00FA2AEA">
        <w:rPr>
          <w:rFonts w:ascii="標楷體" w:eastAsia="標楷體" w:hAnsi="標楷體" w:hint="eastAsia"/>
          <w:sz w:val="32"/>
          <w:szCs w:val="32"/>
        </w:rPr>
        <w:t>職員職務遷調實施要點</w:t>
      </w:r>
    </w:p>
    <w:p w:rsidR="00ED4484" w:rsidRDefault="00ED4484" w:rsidP="00ED4484">
      <w:pPr>
        <w:adjustRightInd w:val="0"/>
        <w:snapToGrid w:val="0"/>
        <w:spacing w:line="240" w:lineRule="atLeast"/>
        <w:jc w:val="right"/>
        <w:rPr>
          <w:rFonts w:ascii="標楷體" w:eastAsia="標楷體" w:hAnsi="標楷體"/>
          <w:sz w:val="20"/>
          <w:szCs w:val="20"/>
        </w:rPr>
      </w:pPr>
      <w:r w:rsidRPr="00B428A7">
        <w:rPr>
          <w:rFonts w:ascii="標楷體" w:eastAsia="標楷體" w:hAnsi="標楷體" w:hint="eastAsia"/>
          <w:sz w:val="20"/>
          <w:szCs w:val="20"/>
        </w:rPr>
        <w:t>99</w:t>
      </w:r>
      <w:r>
        <w:rPr>
          <w:rFonts w:ascii="標楷體" w:eastAsia="標楷體" w:hAnsi="標楷體" w:hint="eastAsia"/>
          <w:sz w:val="20"/>
          <w:szCs w:val="20"/>
        </w:rPr>
        <w:t>年</w:t>
      </w:r>
      <w:r w:rsidRPr="00B428A7">
        <w:rPr>
          <w:rFonts w:ascii="標楷體" w:eastAsia="標楷體" w:hAnsi="標楷體" w:hint="eastAsia"/>
          <w:sz w:val="20"/>
          <w:szCs w:val="20"/>
        </w:rPr>
        <w:t>03</w:t>
      </w:r>
      <w:r>
        <w:rPr>
          <w:rFonts w:ascii="標楷體" w:eastAsia="標楷體" w:hAnsi="標楷體" w:hint="eastAsia"/>
          <w:sz w:val="20"/>
          <w:szCs w:val="20"/>
        </w:rPr>
        <w:t>月</w:t>
      </w:r>
      <w:r w:rsidRPr="00B428A7">
        <w:rPr>
          <w:rFonts w:ascii="標楷體" w:eastAsia="標楷體" w:hAnsi="標楷體" w:hint="eastAsia"/>
          <w:sz w:val="20"/>
          <w:szCs w:val="20"/>
        </w:rPr>
        <w:t>09</w:t>
      </w:r>
      <w:r>
        <w:rPr>
          <w:rFonts w:ascii="標楷體" w:eastAsia="標楷體" w:hAnsi="標楷體" w:hint="eastAsia"/>
          <w:sz w:val="20"/>
          <w:szCs w:val="20"/>
        </w:rPr>
        <w:t xml:space="preserve">日 </w:t>
      </w:r>
      <w:r w:rsidRPr="00B428A7">
        <w:rPr>
          <w:rFonts w:ascii="標楷體" w:eastAsia="標楷體" w:hAnsi="標楷體" w:hint="eastAsia"/>
          <w:sz w:val="20"/>
          <w:szCs w:val="20"/>
        </w:rPr>
        <w:t>98學年度第7次行政會議通過</w:t>
      </w:r>
    </w:p>
    <w:p w:rsidR="00ED4484" w:rsidRDefault="00ED4484" w:rsidP="00ED4484">
      <w:pPr>
        <w:adjustRightInd w:val="0"/>
        <w:snapToGrid w:val="0"/>
        <w:spacing w:line="240" w:lineRule="atLeast"/>
        <w:jc w:val="right"/>
        <w:rPr>
          <w:rFonts w:ascii="標楷體" w:eastAsia="標楷體" w:hAnsi="標楷體"/>
          <w:sz w:val="20"/>
          <w:szCs w:val="20"/>
        </w:rPr>
      </w:pPr>
      <w:r>
        <w:rPr>
          <w:rFonts w:ascii="標楷體" w:eastAsia="標楷體" w:hAnsi="標楷體" w:hint="eastAsia"/>
          <w:sz w:val="20"/>
          <w:szCs w:val="20"/>
        </w:rPr>
        <w:t>100年03月15日99學年度第9次行政會議</w:t>
      </w:r>
      <w:r w:rsidR="007D3372">
        <w:rPr>
          <w:rFonts w:ascii="標楷體" w:eastAsia="標楷體" w:hAnsi="標楷體" w:hint="eastAsia"/>
          <w:sz w:val="20"/>
          <w:szCs w:val="20"/>
        </w:rPr>
        <w:t>修</w:t>
      </w:r>
      <w:r w:rsidR="008D0B99">
        <w:rPr>
          <w:rFonts w:ascii="標楷體" w:eastAsia="標楷體" w:hAnsi="標楷體" w:hint="eastAsia"/>
          <w:sz w:val="20"/>
          <w:szCs w:val="20"/>
        </w:rPr>
        <w:t>正</w:t>
      </w:r>
      <w:r>
        <w:rPr>
          <w:rFonts w:ascii="標楷體" w:eastAsia="標楷體" w:hAnsi="標楷體" w:hint="eastAsia"/>
          <w:sz w:val="20"/>
          <w:szCs w:val="20"/>
        </w:rPr>
        <w:t>通過</w:t>
      </w:r>
    </w:p>
    <w:p w:rsidR="00ED4484" w:rsidRDefault="00ED4484" w:rsidP="00ED4484">
      <w:pPr>
        <w:adjustRightInd w:val="0"/>
        <w:snapToGrid w:val="0"/>
        <w:spacing w:line="240" w:lineRule="atLeast"/>
        <w:jc w:val="right"/>
        <w:rPr>
          <w:rFonts w:ascii="標楷體" w:eastAsia="標楷體" w:hAnsi="標楷體"/>
          <w:sz w:val="20"/>
          <w:szCs w:val="20"/>
        </w:rPr>
      </w:pPr>
      <w:r>
        <w:rPr>
          <w:rFonts w:ascii="標楷體" w:eastAsia="標楷體" w:hAnsi="標楷體" w:hint="eastAsia"/>
          <w:sz w:val="20"/>
          <w:szCs w:val="20"/>
        </w:rPr>
        <w:t>104年6月9日103學年度第10次行政會議</w:t>
      </w:r>
      <w:r w:rsidR="007D3372">
        <w:rPr>
          <w:rFonts w:ascii="標楷體" w:eastAsia="標楷體" w:hAnsi="標楷體" w:hint="eastAsia"/>
          <w:sz w:val="20"/>
          <w:szCs w:val="20"/>
        </w:rPr>
        <w:t>修</w:t>
      </w:r>
      <w:r w:rsidR="008D0B99">
        <w:rPr>
          <w:rFonts w:ascii="標楷體" w:eastAsia="標楷體" w:hAnsi="標楷體" w:hint="eastAsia"/>
          <w:sz w:val="20"/>
          <w:szCs w:val="20"/>
        </w:rPr>
        <w:t>正</w:t>
      </w:r>
      <w:r>
        <w:rPr>
          <w:rFonts w:ascii="標楷體" w:eastAsia="標楷體" w:hAnsi="標楷體" w:hint="eastAsia"/>
          <w:sz w:val="20"/>
          <w:szCs w:val="20"/>
        </w:rPr>
        <w:t>通過</w:t>
      </w:r>
    </w:p>
    <w:p w:rsidR="001245F2" w:rsidRPr="001245F2" w:rsidRDefault="001245F2" w:rsidP="001245F2">
      <w:pPr>
        <w:adjustRightInd w:val="0"/>
        <w:snapToGrid w:val="0"/>
        <w:spacing w:line="240" w:lineRule="atLeast"/>
        <w:jc w:val="right"/>
        <w:rPr>
          <w:rFonts w:ascii="標楷體" w:eastAsia="標楷體" w:hAnsi="標楷體"/>
          <w:color w:val="FF0000"/>
          <w:sz w:val="20"/>
          <w:szCs w:val="20"/>
        </w:rPr>
      </w:pPr>
      <w:r w:rsidRPr="001245F2">
        <w:rPr>
          <w:rFonts w:ascii="標楷體" w:eastAsia="標楷體" w:hAnsi="標楷體"/>
          <w:color w:val="FF0000"/>
          <w:sz w:val="20"/>
          <w:szCs w:val="20"/>
        </w:rPr>
        <w:t>11</w:t>
      </w:r>
      <w:r w:rsidR="00875698">
        <w:rPr>
          <w:rFonts w:ascii="標楷體" w:eastAsia="標楷體" w:hAnsi="標楷體"/>
          <w:color w:val="FF0000"/>
          <w:sz w:val="20"/>
          <w:szCs w:val="20"/>
        </w:rPr>
        <w:t>2</w:t>
      </w:r>
      <w:bookmarkStart w:id="0" w:name="_GoBack"/>
      <w:bookmarkEnd w:id="0"/>
      <w:r w:rsidRPr="001245F2">
        <w:rPr>
          <w:rFonts w:ascii="標楷體" w:eastAsia="標楷體" w:hAnsi="標楷體" w:hint="eastAsia"/>
          <w:color w:val="FF0000"/>
          <w:sz w:val="20"/>
          <w:szCs w:val="20"/>
        </w:rPr>
        <w:t>年</w:t>
      </w:r>
      <w:r w:rsidRPr="001245F2">
        <w:rPr>
          <w:rFonts w:ascii="標楷體" w:eastAsia="標楷體" w:hAnsi="標楷體"/>
          <w:color w:val="FF0000"/>
          <w:sz w:val="20"/>
          <w:szCs w:val="20"/>
        </w:rPr>
        <w:t>3</w:t>
      </w:r>
      <w:r w:rsidRPr="001245F2">
        <w:rPr>
          <w:rFonts w:ascii="標楷體" w:eastAsia="標楷體" w:hAnsi="標楷體" w:hint="eastAsia"/>
          <w:color w:val="FF0000"/>
          <w:sz w:val="20"/>
          <w:szCs w:val="20"/>
        </w:rPr>
        <w:t>月</w:t>
      </w:r>
      <w:r w:rsidRPr="001245F2">
        <w:rPr>
          <w:rFonts w:ascii="標楷體" w:eastAsia="標楷體" w:hAnsi="標楷體"/>
          <w:color w:val="FF0000"/>
          <w:sz w:val="20"/>
          <w:szCs w:val="20"/>
        </w:rPr>
        <w:t>7</w:t>
      </w:r>
      <w:r w:rsidRPr="001245F2">
        <w:rPr>
          <w:rFonts w:ascii="標楷體" w:eastAsia="標楷體" w:hAnsi="標楷體" w:hint="eastAsia"/>
          <w:color w:val="FF0000"/>
          <w:sz w:val="20"/>
          <w:szCs w:val="20"/>
        </w:rPr>
        <w:t>日</w:t>
      </w:r>
      <w:r w:rsidRPr="001245F2">
        <w:rPr>
          <w:rFonts w:ascii="標楷體" w:eastAsia="標楷體" w:hAnsi="標楷體"/>
          <w:color w:val="FF0000"/>
          <w:sz w:val="20"/>
          <w:szCs w:val="20"/>
        </w:rPr>
        <w:t>111</w:t>
      </w:r>
      <w:r w:rsidRPr="001245F2">
        <w:rPr>
          <w:rFonts w:ascii="標楷體" w:eastAsia="標楷體" w:hAnsi="標楷體" w:hint="eastAsia"/>
          <w:color w:val="FF0000"/>
          <w:sz w:val="20"/>
          <w:szCs w:val="20"/>
        </w:rPr>
        <w:t>學年度第</w:t>
      </w:r>
      <w:r w:rsidRPr="001245F2">
        <w:rPr>
          <w:rFonts w:ascii="標楷體" w:eastAsia="標楷體" w:hAnsi="標楷體"/>
          <w:color w:val="FF0000"/>
          <w:sz w:val="20"/>
          <w:szCs w:val="20"/>
        </w:rPr>
        <w:t>6</w:t>
      </w:r>
      <w:r w:rsidRPr="001245F2">
        <w:rPr>
          <w:rFonts w:ascii="標楷體" w:eastAsia="標楷體" w:hAnsi="標楷體" w:hint="eastAsia"/>
          <w:color w:val="FF0000"/>
          <w:sz w:val="20"/>
          <w:szCs w:val="20"/>
        </w:rPr>
        <w:t>次行政會議修正通過</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國立虎尾科技</w:t>
      </w:r>
      <w:r w:rsidR="001A19DF">
        <w:rPr>
          <w:rFonts w:ascii="標楷體" w:eastAsia="標楷體" w:hAnsi="標楷體" w:hint="eastAsia"/>
        </w:rPr>
        <w:t>大</w:t>
      </w:r>
      <w:r w:rsidRPr="00ED4484">
        <w:rPr>
          <w:rFonts w:ascii="標楷體" w:eastAsia="標楷體" w:hAnsi="標楷體" w:hint="eastAsia"/>
        </w:rPr>
        <w:t>學（以下簡稱本校）為辦理職員之職務遷調，以培植人才，有效運用人力、拓廣同仁視野、落實終身學習機制並激勵業務創新，依公務人員陞遷法第十三條第二項規定，訂定本要點。</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本要點所稱職務遷調，係指本校各單位內或單位與單位間編制內職員之職務遷調。</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本校職員職務遷調，得因下列各種情形實施：</w:t>
      </w:r>
    </w:p>
    <w:p w:rsidR="00ED4484" w:rsidRPr="00ED4484" w:rsidRDefault="00ED4484" w:rsidP="00ED4484">
      <w:pPr>
        <w:pStyle w:val="a6"/>
        <w:numPr>
          <w:ilvl w:val="0"/>
          <w:numId w:val="4"/>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為配合組織目標達成，將現有人力適當調配。</w:t>
      </w:r>
    </w:p>
    <w:p w:rsidR="00ED4484" w:rsidRPr="00ED4484" w:rsidRDefault="00ED4484" w:rsidP="00ED4484">
      <w:pPr>
        <w:pStyle w:val="a6"/>
        <w:numPr>
          <w:ilvl w:val="0"/>
          <w:numId w:val="4"/>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為因應單位業務增減，須予調整人員配置。</w:t>
      </w:r>
    </w:p>
    <w:p w:rsidR="00ED4484" w:rsidRPr="00ED4484" w:rsidRDefault="00ED4484" w:rsidP="00ED4484">
      <w:pPr>
        <w:pStyle w:val="a6"/>
        <w:numPr>
          <w:ilvl w:val="0"/>
          <w:numId w:val="4"/>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為培育人才、增加職務歷練，貫徹職務代理。</w:t>
      </w:r>
    </w:p>
    <w:p w:rsidR="00ED4484" w:rsidRPr="00ED4484" w:rsidRDefault="00ED4484" w:rsidP="00ED4484">
      <w:pPr>
        <w:pStyle w:val="a6"/>
        <w:numPr>
          <w:ilvl w:val="0"/>
          <w:numId w:val="4"/>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為解決勞逸不均，消除各部門或員工個人本位主義。</w:t>
      </w:r>
    </w:p>
    <w:p w:rsidR="00ED4484" w:rsidRPr="00ED4484" w:rsidRDefault="00ED4484" w:rsidP="00ED4484">
      <w:pPr>
        <w:pStyle w:val="a6"/>
        <w:numPr>
          <w:ilvl w:val="0"/>
          <w:numId w:val="4"/>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為杜絕久任一職，促進單位之團結合作及減少磨擦。</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本校</w:t>
      </w:r>
      <w:r w:rsidRPr="00ED4484">
        <w:rPr>
          <w:rFonts w:ascii="標楷體" w:eastAsia="標楷體" w:hAnsi="標楷體" w:cs="新細明體" w:hint="eastAsia"/>
        </w:rPr>
        <w:t>人事室、</w:t>
      </w:r>
      <w:r w:rsidRPr="00ED4484">
        <w:rPr>
          <w:rFonts w:ascii="標楷體" w:eastAsia="標楷體" w:hAnsi="標楷體" w:hint="eastAsia"/>
        </w:rPr>
        <w:t>主</w:t>
      </w:r>
      <w:r w:rsidRPr="00ED4484">
        <w:rPr>
          <w:rFonts w:ascii="標楷體" w:eastAsia="標楷體" w:hAnsi="標楷體" w:cs="新細明體" w:hint="eastAsia"/>
        </w:rPr>
        <w:t>計室</w:t>
      </w:r>
      <w:r w:rsidRPr="00ED4484">
        <w:rPr>
          <w:rFonts w:ascii="標楷體" w:eastAsia="標楷體" w:hAnsi="標楷體" w:hint="eastAsia"/>
        </w:rPr>
        <w:t>實施單位內職務遷調，其餘人員辦理單位內或單位與單位間職務遷調，但下列人員得不實施職務遷調：</w:t>
      </w:r>
    </w:p>
    <w:p w:rsidR="00ED4484" w:rsidRPr="00ED4484" w:rsidRDefault="00ED4484" w:rsidP="00ED4484">
      <w:pPr>
        <w:pStyle w:val="a6"/>
        <w:numPr>
          <w:ilvl w:val="0"/>
          <w:numId w:val="5"/>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一級單位主管。</w:t>
      </w:r>
    </w:p>
    <w:p w:rsidR="00ED4484" w:rsidRPr="00ED4484" w:rsidRDefault="00ED4484" w:rsidP="00ED4484">
      <w:pPr>
        <w:pStyle w:val="a6"/>
        <w:numPr>
          <w:ilvl w:val="0"/>
          <w:numId w:val="5"/>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年滿六十歲以上，但經當事人書面同意者不在此限。</w:t>
      </w:r>
    </w:p>
    <w:p w:rsidR="00ED4484" w:rsidRPr="00ED4484" w:rsidRDefault="00ED4484" w:rsidP="00ED4484">
      <w:pPr>
        <w:pStyle w:val="a6"/>
        <w:numPr>
          <w:ilvl w:val="0"/>
          <w:numId w:val="5"/>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職務性質、職系特殊或無適當職務可資調任，經校長核定者。</w:t>
      </w:r>
    </w:p>
    <w:p w:rsidR="00ED4484" w:rsidRPr="00ED4484" w:rsidRDefault="00ED4484" w:rsidP="00ED4484">
      <w:pPr>
        <w:pStyle w:val="a6"/>
        <w:numPr>
          <w:ilvl w:val="0"/>
          <w:numId w:val="5"/>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本校稀少性科技人員、醫事人員。</w:t>
      </w:r>
    </w:p>
    <w:p w:rsidR="00ED4484" w:rsidRPr="00ED4484" w:rsidRDefault="00ED4484" w:rsidP="00ED4484">
      <w:pPr>
        <w:pStyle w:val="a6"/>
        <w:numPr>
          <w:ilvl w:val="0"/>
          <w:numId w:val="5"/>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仍辦理留職停薪及延長病假者。</w:t>
      </w:r>
    </w:p>
    <w:p w:rsidR="00ED4484" w:rsidRPr="00ED4484" w:rsidRDefault="00E52AF1" w:rsidP="00ED4484">
      <w:pPr>
        <w:pStyle w:val="a6"/>
        <w:numPr>
          <w:ilvl w:val="0"/>
          <w:numId w:val="5"/>
        </w:numPr>
        <w:adjustRightInd w:val="0"/>
        <w:snapToGrid w:val="0"/>
        <w:spacing w:line="280" w:lineRule="exact"/>
        <w:ind w:leftChars="0"/>
        <w:jc w:val="both"/>
        <w:rPr>
          <w:rFonts w:ascii="標楷體" w:eastAsia="標楷體" w:hAnsi="標楷體"/>
        </w:rPr>
      </w:pPr>
      <w:r>
        <w:rPr>
          <w:rFonts w:ascii="標楷體" w:eastAsia="標楷體" w:hAnsi="標楷體" w:hint="eastAsia"/>
        </w:rPr>
        <w:t>預計於</w:t>
      </w:r>
      <w:r w:rsidR="00ED4484" w:rsidRPr="00ED4484">
        <w:rPr>
          <w:rFonts w:ascii="標楷體" w:eastAsia="標楷體" w:hAnsi="標楷體" w:hint="eastAsia"/>
        </w:rPr>
        <w:t>三年內退休者。</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實施方式：</w:t>
      </w:r>
    </w:p>
    <w:p w:rsidR="00ED4484" w:rsidRPr="00ED4484" w:rsidRDefault="00ED4484" w:rsidP="00ED4484">
      <w:pPr>
        <w:pStyle w:val="a6"/>
        <w:numPr>
          <w:ilvl w:val="0"/>
          <w:numId w:val="7"/>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本校編制內職員任同一職務滿四年，期限屆滿，得予續任或遷調職務，並定期辦理檢討，但其他法令有規定任期或遷調規定者依其規定。遷調人員因特殊情形致遷調困難者，經專案提請本校職員甄審暨考績委員會審議，陳校長核准後，得續予延長。延長中因業務需要，得隨時調整職務。</w:t>
      </w:r>
    </w:p>
    <w:p w:rsidR="00ED4484" w:rsidRPr="00ED4484" w:rsidRDefault="00ED4484" w:rsidP="00ED4484">
      <w:pPr>
        <w:pStyle w:val="a6"/>
        <w:numPr>
          <w:ilvl w:val="0"/>
          <w:numId w:val="7"/>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遷調作業於每年度結束後三個月內辦理為原則，本校人事室於每年九月底前通知各單位，各單位應就業務需要對所屬職員職務遷調作綜合考量，填具本校所屬職員職務遷調調查表，送人事室辦理；職員因個人因素任現職滿三年並有意願遷調職務者，亦得填具本校職員職務遷調申請調查表，經主管簽章後，送人事室彙整，列入本校遷調候用名冊；有意願遷調職員若有職務得以遷調者，提職員甄審暨考績委員會審議，簽請校長核定後實施。</w:t>
      </w:r>
    </w:p>
    <w:p w:rsidR="00ED4484" w:rsidRPr="00ED4484" w:rsidRDefault="00ED4484" w:rsidP="00ED4484">
      <w:pPr>
        <w:pStyle w:val="a6"/>
        <w:numPr>
          <w:ilvl w:val="0"/>
          <w:numId w:val="7"/>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審議結果經簽奉校長核定後，應通知遷調人員及其單位於二個月內辦理遷調，並應於該期限內完成業務交接。</w:t>
      </w:r>
    </w:p>
    <w:p w:rsidR="00ED4484" w:rsidRPr="00ED4484" w:rsidRDefault="00ED4484" w:rsidP="00ED4484">
      <w:pPr>
        <w:pStyle w:val="a6"/>
        <w:numPr>
          <w:ilvl w:val="0"/>
          <w:numId w:val="7"/>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新進職員到校服務未滿三年者，除因特殊原因專案簽奉核准外，不得申請參與遷調。</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本校職員應配合職務性質及業務需要實施下列各種遷調：</w:t>
      </w:r>
    </w:p>
    <w:p w:rsidR="00ED4484" w:rsidRPr="00ED4484" w:rsidRDefault="00ED4484" w:rsidP="00ED4484">
      <w:pPr>
        <w:pStyle w:val="a6"/>
        <w:numPr>
          <w:ilvl w:val="0"/>
          <w:numId w:val="6"/>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本校簡任非主管人員間之遷調。</w:t>
      </w:r>
    </w:p>
    <w:p w:rsidR="00ED4484" w:rsidRPr="00ED4484" w:rsidRDefault="00ED4484" w:rsidP="00ED4484">
      <w:pPr>
        <w:pStyle w:val="a6"/>
        <w:numPr>
          <w:ilvl w:val="0"/>
          <w:numId w:val="6"/>
        </w:numPr>
        <w:adjustRightInd w:val="0"/>
        <w:snapToGrid w:val="0"/>
        <w:spacing w:line="280" w:lineRule="exact"/>
        <w:ind w:leftChars="0"/>
        <w:jc w:val="both"/>
        <w:rPr>
          <w:rFonts w:ascii="標楷體" w:eastAsia="標楷體" w:hAnsi="標楷體"/>
        </w:rPr>
      </w:pPr>
      <w:r w:rsidRPr="00ED4484">
        <w:rPr>
          <w:rFonts w:ascii="標楷體" w:eastAsia="標楷體" w:hAnsi="標楷體" w:cs="新細明體" w:hint="eastAsia"/>
        </w:rPr>
        <w:t>本校組長間之遷調。</w:t>
      </w:r>
    </w:p>
    <w:p w:rsidR="00ED4484" w:rsidRPr="00ED4484" w:rsidRDefault="00ED4484" w:rsidP="00ED4484">
      <w:pPr>
        <w:pStyle w:val="a6"/>
        <w:numPr>
          <w:ilvl w:val="0"/>
          <w:numId w:val="6"/>
        </w:numPr>
        <w:adjustRightInd w:val="0"/>
        <w:snapToGrid w:val="0"/>
        <w:spacing w:line="280" w:lineRule="exact"/>
        <w:ind w:leftChars="0"/>
        <w:jc w:val="both"/>
        <w:rPr>
          <w:rFonts w:ascii="標楷體" w:eastAsia="標楷體" w:hAnsi="標楷體"/>
        </w:rPr>
      </w:pPr>
      <w:r w:rsidRPr="00ED4484">
        <w:rPr>
          <w:rFonts w:ascii="標楷體" w:eastAsia="標楷體" w:hAnsi="標楷體" w:cs="新細明體" w:hint="eastAsia"/>
        </w:rPr>
        <w:t>本校</w:t>
      </w:r>
      <w:r w:rsidRPr="00ED4484">
        <w:rPr>
          <w:rFonts w:ascii="標楷體" w:eastAsia="標楷體" w:hAnsi="標楷體" w:hint="eastAsia"/>
        </w:rPr>
        <w:t>職務列等相當</w:t>
      </w:r>
      <w:r w:rsidRPr="00ED4484">
        <w:rPr>
          <w:rFonts w:ascii="標楷體" w:eastAsia="標楷體" w:hAnsi="標楷體" w:cs="新細明體" w:hint="eastAsia"/>
        </w:rPr>
        <w:t>薦任非主管人員間之遷調。</w:t>
      </w:r>
    </w:p>
    <w:p w:rsidR="00ED4484" w:rsidRDefault="00ED4484" w:rsidP="00ED4484">
      <w:pPr>
        <w:pStyle w:val="a6"/>
        <w:numPr>
          <w:ilvl w:val="0"/>
          <w:numId w:val="6"/>
        </w:numPr>
        <w:adjustRightInd w:val="0"/>
        <w:snapToGrid w:val="0"/>
        <w:spacing w:line="280" w:lineRule="exact"/>
        <w:ind w:leftChars="0"/>
        <w:jc w:val="both"/>
        <w:rPr>
          <w:rFonts w:ascii="標楷體" w:eastAsia="標楷體" w:hAnsi="標楷體" w:cs="新細明體"/>
        </w:rPr>
      </w:pPr>
      <w:r w:rsidRPr="00ED4484">
        <w:rPr>
          <w:rFonts w:ascii="標楷體" w:eastAsia="標楷體" w:hAnsi="標楷體" w:cs="新細明體" w:hint="eastAsia"/>
        </w:rPr>
        <w:t>本校</w:t>
      </w:r>
      <w:r w:rsidRPr="00ED4484">
        <w:rPr>
          <w:rFonts w:ascii="標楷體" w:eastAsia="標楷體" w:hAnsi="標楷體" w:hint="eastAsia"/>
        </w:rPr>
        <w:t>職務列等相當</w:t>
      </w:r>
      <w:r w:rsidRPr="00ED4484">
        <w:rPr>
          <w:rFonts w:ascii="標楷體" w:eastAsia="標楷體" w:hAnsi="標楷體" w:cs="新細明體" w:hint="eastAsia"/>
        </w:rPr>
        <w:t>委任人員間之遷調。</w:t>
      </w:r>
    </w:p>
    <w:p w:rsidR="0073050A" w:rsidRPr="00953A48" w:rsidRDefault="00953A48" w:rsidP="00953A48">
      <w:pPr>
        <w:adjustRightInd w:val="0"/>
        <w:snapToGrid w:val="0"/>
        <w:spacing w:line="280" w:lineRule="exact"/>
        <w:ind w:left="-120"/>
        <w:jc w:val="both"/>
        <w:rPr>
          <w:rFonts w:ascii="標楷體" w:eastAsia="標楷體" w:hAnsi="標楷體" w:cs="新細明體"/>
          <w:b/>
          <w:color w:val="FF0000"/>
          <w:u w:val="single"/>
        </w:rPr>
      </w:pPr>
      <w:r>
        <w:rPr>
          <w:rFonts w:ascii="標楷體" w:eastAsia="標楷體" w:hAnsi="標楷體" w:cs="新細明體" w:hint="eastAsia"/>
          <w:b/>
          <w:color w:val="FF0000"/>
          <w:u w:val="single"/>
        </w:rPr>
        <w:t>（五）</w:t>
      </w:r>
      <w:r w:rsidR="0073050A" w:rsidRPr="00953A48">
        <w:rPr>
          <w:rFonts w:ascii="標楷體" w:eastAsia="標楷體" w:hAnsi="標楷體" w:cs="新細明體"/>
          <w:b/>
          <w:color w:val="FF0000"/>
          <w:u w:val="single"/>
        </w:rPr>
        <w:t>本校任廉政風險</w:t>
      </w:r>
      <w:r w:rsidR="00BD2CFA" w:rsidRPr="00953A48">
        <w:rPr>
          <w:rFonts w:ascii="標楷體" w:eastAsia="標楷體" w:hAnsi="標楷體" w:cs="新細明體"/>
          <w:b/>
          <w:color w:val="FF0000"/>
          <w:u w:val="single"/>
        </w:rPr>
        <w:t>職</w:t>
      </w:r>
      <w:r w:rsidR="0073050A" w:rsidRPr="00953A48">
        <w:rPr>
          <w:rFonts w:ascii="標楷體" w:eastAsia="標楷體" w:hAnsi="標楷體" w:cs="新細明體"/>
          <w:b/>
          <w:color w:val="FF0000"/>
          <w:u w:val="single"/>
        </w:rPr>
        <w:t>務人員</w:t>
      </w:r>
      <w:r w:rsidR="0078696B" w:rsidRPr="00953A48">
        <w:rPr>
          <w:rFonts w:ascii="標楷體" w:eastAsia="標楷體" w:hAnsi="標楷體" w:cs="新細明體" w:hint="eastAsia"/>
          <w:b/>
          <w:color w:val="FF0000"/>
          <w:u w:val="single"/>
        </w:rPr>
        <w:t>定期</w:t>
      </w:r>
      <w:r w:rsidR="0073050A" w:rsidRPr="00953A48">
        <w:rPr>
          <w:rFonts w:ascii="標楷體" w:eastAsia="標楷體" w:hAnsi="標楷體" w:cs="新細明體" w:hint="eastAsia"/>
          <w:b/>
          <w:color w:val="FF0000"/>
          <w:u w:val="single"/>
        </w:rPr>
        <w:t>遷調。</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職務遷調業務由人事室統籌辦理，惟因業務特殊需要得專案循行政程序簽奉校長核准後調任。</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rPr>
        <w:t>職務遷調年資之計算自實際任現職之月起算至辦理職務遷調作業前一年十二月三十一日為準。</w:t>
      </w:r>
    </w:p>
    <w:p w:rsidR="00ED4484" w:rsidRPr="00ED4484" w:rsidRDefault="00ED4484" w:rsidP="00ED4484">
      <w:pPr>
        <w:pStyle w:val="a6"/>
        <w:numPr>
          <w:ilvl w:val="0"/>
          <w:numId w:val="2"/>
        </w:numPr>
        <w:adjustRightInd w:val="0"/>
        <w:snapToGrid w:val="0"/>
        <w:spacing w:line="280" w:lineRule="exact"/>
        <w:ind w:leftChars="0"/>
        <w:jc w:val="both"/>
        <w:rPr>
          <w:rFonts w:ascii="標楷體" w:eastAsia="標楷體" w:hAnsi="標楷體"/>
        </w:rPr>
      </w:pPr>
      <w:r w:rsidRPr="00ED4484">
        <w:rPr>
          <w:rFonts w:ascii="標楷體" w:eastAsia="標楷體" w:hAnsi="標楷體" w:hint="eastAsia"/>
          <w:color w:val="000000"/>
        </w:rPr>
        <w:t>本校校務基金進用人員比照本要點規定辦理遷調；技工、工友或其他人員得視業務需要由權責單位比照本要點規定辦理。</w:t>
      </w:r>
    </w:p>
    <w:p w:rsidR="00D75CDB" w:rsidRPr="008B68FB" w:rsidRDefault="00ED4484" w:rsidP="00FA6D53">
      <w:pPr>
        <w:pStyle w:val="a6"/>
        <w:numPr>
          <w:ilvl w:val="0"/>
          <w:numId w:val="2"/>
        </w:numPr>
        <w:adjustRightInd w:val="0"/>
        <w:snapToGrid w:val="0"/>
        <w:spacing w:line="280" w:lineRule="exact"/>
        <w:ind w:leftChars="0"/>
        <w:jc w:val="both"/>
      </w:pPr>
      <w:r w:rsidRPr="0073050A">
        <w:rPr>
          <w:rFonts w:ascii="標楷體" w:eastAsia="標楷體" w:hAnsi="標楷體" w:hint="eastAsia"/>
        </w:rPr>
        <w:t>本要點經行政會議通過，並經核定後實施，修正時亦同。</w:t>
      </w:r>
    </w:p>
    <w:p w:rsidR="008B68FB" w:rsidRPr="008B68FB" w:rsidRDefault="008B68FB" w:rsidP="008B68FB">
      <w:pPr>
        <w:pStyle w:val="a6"/>
        <w:widowControl/>
        <w:numPr>
          <w:ilvl w:val="0"/>
          <w:numId w:val="2"/>
        </w:numPr>
        <w:suppressAutoHyphens/>
        <w:snapToGrid w:val="0"/>
        <w:spacing w:line="360" w:lineRule="exact"/>
        <w:ind w:leftChars="0"/>
        <w:jc w:val="center"/>
        <w:rPr>
          <w:rFonts w:ascii="華康楷書體W3" w:eastAsia="標楷體"/>
          <w:kern w:val="0"/>
          <w:sz w:val="32"/>
          <w:szCs w:val="32"/>
        </w:rPr>
      </w:pPr>
      <w:r w:rsidRPr="008B68FB">
        <w:rPr>
          <w:rFonts w:ascii="Arial" w:eastAsia="標楷體" w:hAnsi="標楷體" w:hint="eastAsia"/>
          <w:kern w:val="0"/>
          <w:sz w:val="32"/>
          <w:szCs w:val="32"/>
        </w:rPr>
        <w:lastRenderedPageBreak/>
        <w:t>國立虎尾科技大學職員職務遷調實施要點第六點規定</w:t>
      </w:r>
      <w:r w:rsidRPr="008B68FB">
        <w:rPr>
          <w:rFonts w:ascii="華康楷書體W3" w:eastAsia="標楷體" w:hint="eastAsia"/>
          <w:kern w:val="0"/>
          <w:sz w:val="32"/>
          <w:szCs w:val="32"/>
        </w:rPr>
        <w:t>修正草案對照表</w:t>
      </w:r>
    </w:p>
    <w:tbl>
      <w:tblPr>
        <w:tblW w:w="10490" w:type="dxa"/>
        <w:tblInd w:w="108" w:type="dxa"/>
        <w:tblLayout w:type="fixed"/>
        <w:tblLook w:val="01E0" w:firstRow="1" w:lastRow="1" w:firstColumn="1" w:lastColumn="1" w:noHBand="0" w:noVBand="0"/>
      </w:tblPr>
      <w:tblGrid>
        <w:gridCol w:w="4253"/>
        <w:gridCol w:w="4252"/>
        <w:gridCol w:w="1985"/>
      </w:tblGrid>
      <w:tr w:rsidR="008B68FB" w:rsidRPr="001F4DCC" w:rsidTr="00DC46BD">
        <w:trPr>
          <w:trHeight w:val="705"/>
          <w:tblHead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B68FB" w:rsidRPr="001F4DCC" w:rsidRDefault="008B68FB" w:rsidP="00DC46BD">
            <w:pPr>
              <w:widowControl/>
              <w:suppressAutoHyphens/>
              <w:spacing w:line="360" w:lineRule="exact"/>
              <w:jc w:val="center"/>
              <w:rPr>
                <w:rFonts w:ascii="標楷體" w:eastAsia="標楷體" w:hAnsi="標楷體"/>
                <w:kern w:val="0"/>
                <w:szCs w:val="20"/>
              </w:rPr>
            </w:pPr>
            <w:r w:rsidRPr="001F4DCC">
              <w:rPr>
                <w:rFonts w:ascii="標楷體" w:eastAsia="標楷體" w:hAnsi="標楷體" w:hint="eastAsia"/>
                <w:kern w:val="0"/>
                <w:szCs w:val="20"/>
              </w:rPr>
              <w:t>修正規定</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8B68FB" w:rsidRPr="001F4DCC" w:rsidRDefault="008B68FB" w:rsidP="00DC46BD">
            <w:pPr>
              <w:widowControl/>
              <w:suppressAutoHyphens/>
              <w:spacing w:line="360" w:lineRule="exact"/>
              <w:jc w:val="center"/>
              <w:rPr>
                <w:rFonts w:ascii="標楷體" w:eastAsia="標楷體" w:hAnsi="標楷體"/>
                <w:kern w:val="0"/>
                <w:szCs w:val="20"/>
              </w:rPr>
            </w:pPr>
            <w:r w:rsidRPr="001F4DCC">
              <w:rPr>
                <w:rFonts w:ascii="標楷體" w:eastAsia="標楷體" w:hAnsi="標楷體" w:hint="eastAsia"/>
                <w:kern w:val="0"/>
                <w:szCs w:val="20"/>
              </w:rPr>
              <w:t>現行規定</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B68FB" w:rsidRPr="001F4DCC" w:rsidRDefault="008B68FB" w:rsidP="00DC46BD">
            <w:pPr>
              <w:widowControl/>
              <w:suppressAutoHyphens/>
              <w:spacing w:line="360" w:lineRule="exact"/>
              <w:jc w:val="center"/>
              <w:rPr>
                <w:rFonts w:ascii="標楷體" w:eastAsia="標楷體" w:hAnsi="標楷體"/>
                <w:kern w:val="0"/>
                <w:szCs w:val="20"/>
              </w:rPr>
            </w:pPr>
            <w:r w:rsidRPr="001F4DCC">
              <w:rPr>
                <w:rFonts w:ascii="標楷體" w:eastAsia="標楷體" w:hAnsi="標楷體" w:hint="eastAsia"/>
                <w:kern w:val="0"/>
                <w:szCs w:val="20"/>
              </w:rPr>
              <w:t>說明</w:t>
            </w:r>
          </w:p>
        </w:tc>
      </w:tr>
      <w:tr w:rsidR="008B68FB" w:rsidRPr="001F4DCC" w:rsidTr="00DC46BD">
        <w:trPr>
          <w:trHeight w:val="2887"/>
        </w:trPr>
        <w:tc>
          <w:tcPr>
            <w:tcW w:w="4253" w:type="dxa"/>
            <w:tcBorders>
              <w:top w:val="single" w:sz="4" w:space="0" w:color="auto"/>
              <w:left w:val="single" w:sz="4" w:space="0" w:color="auto"/>
              <w:bottom w:val="single" w:sz="4" w:space="0" w:color="auto"/>
              <w:right w:val="single" w:sz="4" w:space="0" w:color="auto"/>
            </w:tcBorders>
            <w:shd w:val="clear" w:color="auto" w:fill="auto"/>
          </w:tcPr>
          <w:p w:rsidR="008B68FB" w:rsidRPr="00ED4484" w:rsidRDefault="008B68FB" w:rsidP="00DC46BD">
            <w:pPr>
              <w:pStyle w:val="a6"/>
              <w:adjustRightInd w:val="0"/>
              <w:snapToGrid w:val="0"/>
              <w:ind w:leftChars="0" w:hangingChars="200" w:hanging="480"/>
              <w:jc w:val="both"/>
              <w:rPr>
                <w:rFonts w:ascii="標楷體" w:eastAsia="標楷體" w:hAnsi="標楷體"/>
              </w:rPr>
            </w:pPr>
            <w:r>
              <w:rPr>
                <w:rFonts w:ascii="標楷體" w:eastAsia="標楷體" w:hAnsi="標楷體" w:hint="eastAsia"/>
                <w:kern w:val="0"/>
              </w:rPr>
              <w:t>六、</w:t>
            </w:r>
            <w:r w:rsidRPr="00ED4484">
              <w:rPr>
                <w:rFonts w:ascii="標楷體" w:eastAsia="標楷體" w:hAnsi="標楷體" w:hint="eastAsia"/>
              </w:rPr>
              <w:t>本校職員應配合職務性質及業務需要實施下列各種遷調：</w:t>
            </w:r>
          </w:p>
          <w:p w:rsidR="008B68FB" w:rsidRPr="00ED4484" w:rsidRDefault="008B68FB" w:rsidP="00DC46BD">
            <w:pPr>
              <w:pStyle w:val="a6"/>
              <w:adjustRightInd w:val="0"/>
              <w:snapToGrid w:val="0"/>
              <w:ind w:leftChars="0" w:left="0"/>
              <w:jc w:val="both"/>
              <w:rPr>
                <w:rFonts w:ascii="標楷體" w:eastAsia="標楷體" w:hAnsi="標楷體"/>
              </w:rPr>
            </w:pPr>
            <w:r>
              <w:rPr>
                <w:rFonts w:ascii="標楷體" w:eastAsia="標楷體" w:hAnsi="標楷體"/>
              </w:rPr>
              <w:t>(一)</w:t>
            </w:r>
            <w:r w:rsidRPr="00ED4484">
              <w:rPr>
                <w:rFonts w:ascii="標楷體" w:eastAsia="標楷體" w:hAnsi="標楷體" w:hint="eastAsia"/>
              </w:rPr>
              <w:t>本校簡任非主管人員間之遷調。</w:t>
            </w:r>
          </w:p>
          <w:p w:rsidR="008B68FB" w:rsidRPr="00ED4484" w:rsidRDefault="008B68FB" w:rsidP="00DC46BD">
            <w:pPr>
              <w:pStyle w:val="a6"/>
              <w:adjustRightInd w:val="0"/>
              <w:snapToGrid w:val="0"/>
              <w:ind w:leftChars="0" w:left="0"/>
              <w:jc w:val="both"/>
              <w:rPr>
                <w:rFonts w:ascii="標楷體" w:eastAsia="標楷體" w:hAnsi="標楷體"/>
              </w:rPr>
            </w:pPr>
            <w:r>
              <w:rPr>
                <w:rFonts w:ascii="標楷體" w:eastAsia="標楷體" w:hAnsi="標楷體" w:cs="新細明體"/>
              </w:rPr>
              <w:t>(二)</w:t>
            </w:r>
            <w:r w:rsidRPr="00ED4484">
              <w:rPr>
                <w:rFonts w:ascii="標楷體" w:eastAsia="標楷體" w:hAnsi="標楷體" w:cs="新細明體" w:hint="eastAsia"/>
              </w:rPr>
              <w:t>本校組長間之遷調。</w:t>
            </w:r>
          </w:p>
          <w:p w:rsidR="008B68FB" w:rsidRPr="00ED4484" w:rsidRDefault="008B68FB" w:rsidP="00DC46BD">
            <w:pPr>
              <w:pStyle w:val="a6"/>
              <w:adjustRightInd w:val="0"/>
              <w:snapToGrid w:val="0"/>
              <w:ind w:leftChars="0" w:hangingChars="200" w:hanging="480"/>
              <w:jc w:val="both"/>
              <w:rPr>
                <w:rFonts w:ascii="標楷體" w:eastAsia="標楷體" w:hAnsi="標楷體"/>
              </w:rPr>
            </w:pPr>
            <w:r>
              <w:rPr>
                <w:rFonts w:ascii="標楷體" w:eastAsia="標楷體" w:hAnsi="標楷體" w:cs="新細明體"/>
              </w:rPr>
              <w:t>(三)</w:t>
            </w:r>
            <w:r w:rsidRPr="00ED4484">
              <w:rPr>
                <w:rFonts w:ascii="標楷體" w:eastAsia="標楷體" w:hAnsi="標楷體" w:cs="新細明體" w:hint="eastAsia"/>
              </w:rPr>
              <w:t>本校</w:t>
            </w:r>
            <w:r w:rsidRPr="00ED4484">
              <w:rPr>
                <w:rFonts w:ascii="標楷體" w:eastAsia="標楷體" w:hAnsi="標楷體" w:hint="eastAsia"/>
              </w:rPr>
              <w:t>職務列等相當</w:t>
            </w:r>
            <w:r w:rsidRPr="00ED4484">
              <w:rPr>
                <w:rFonts w:ascii="標楷體" w:eastAsia="標楷體" w:hAnsi="標楷體" w:cs="新細明體" w:hint="eastAsia"/>
              </w:rPr>
              <w:t>薦任非主管人員間之遷調。</w:t>
            </w:r>
          </w:p>
          <w:p w:rsidR="008B68FB" w:rsidRDefault="008B68FB" w:rsidP="00DC46BD">
            <w:pPr>
              <w:autoSpaceDE w:val="0"/>
              <w:autoSpaceDN w:val="0"/>
              <w:adjustRightInd w:val="0"/>
              <w:snapToGrid w:val="0"/>
              <w:ind w:left="480" w:hangingChars="200" w:hanging="480"/>
              <w:rPr>
                <w:rFonts w:ascii="標楷體" w:eastAsia="標楷體" w:hAnsi="標楷體"/>
                <w:kern w:val="0"/>
              </w:rPr>
            </w:pPr>
            <w:r>
              <w:rPr>
                <w:rFonts w:ascii="標楷體" w:eastAsia="標楷體" w:hAnsi="標楷體" w:cs="新細明體" w:hint="eastAsia"/>
              </w:rPr>
              <w:t>(四)</w:t>
            </w:r>
            <w:r w:rsidRPr="00ED4484">
              <w:rPr>
                <w:rFonts w:ascii="標楷體" w:eastAsia="標楷體" w:hAnsi="標楷體" w:cs="新細明體" w:hint="eastAsia"/>
              </w:rPr>
              <w:t>本校</w:t>
            </w:r>
            <w:r w:rsidRPr="00ED4484">
              <w:rPr>
                <w:rFonts w:ascii="標楷體" w:eastAsia="標楷體" w:hAnsi="標楷體" w:hint="eastAsia"/>
              </w:rPr>
              <w:t>職務列等相當</w:t>
            </w:r>
            <w:r w:rsidRPr="00ED4484">
              <w:rPr>
                <w:rFonts w:ascii="標楷體" w:eastAsia="標楷體" w:hAnsi="標楷體" w:cs="新細明體" w:hint="eastAsia"/>
              </w:rPr>
              <w:t>委任人員間之遷調</w:t>
            </w:r>
            <w:r w:rsidRPr="00A14FC1">
              <w:rPr>
                <w:rFonts w:ascii="標楷體" w:eastAsia="標楷體" w:hAnsi="標楷體" w:hint="eastAsia"/>
                <w:kern w:val="0"/>
              </w:rPr>
              <w:t>。</w:t>
            </w:r>
          </w:p>
          <w:p w:rsidR="008B68FB" w:rsidRPr="008052AF" w:rsidRDefault="008B68FB" w:rsidP="00DC46BD">
            <w:pPr>
              <w:pStyle w:val="a6"/>
              <w:adjustRightInd w:val="0"/>
              <w:snapToGrid w:val="0"/>
              <w:ind w:leftChars="0" w:hangingChars="200" w:hanging="480"/>
              <w:jc w:val="both"/>
              <w:rPr>
                <w:rFonts w:ascii="標楷體" w:eastAsia="標楷體" w:hAnsi="標楷體"/>
                <w:kern w:val="0"/>
              </w:rPr>
            </w:pPr>
            <w:r w:rsidRPr="008052AF">
              <w:rPr>
                <w:rFonts w:ascii="標楷體" w:eastAsia="標楷體" w:hAnsi="標楷體"/>
                <w:b/>
                <w:color w:val="FF0000"/>
                <w:kern w:val="0"/>
                <w:u w:val="single"/>
              </w:rPr>
              <w:t>(五)</w:t>
            </w:r>
            <w:r w:rsidRPr="008052AF">
              <w:rPr>
                <w:rFonts w:ascii="標楷體" w:eastAsia="標楷體" w:hAnsi="標楷體" w:cs="新細明體"/>
                <w:b/>
                <w:color w:val="FF0000"/>
                <w:u w:val="single"/>
              </w:rPr>
              <w:t>本校任廉政風險職務人員</w:t>
            </w:r>
            <w:r>
              <w:rPr>
                <w:rFonts w:ascii="標楷體" w:eastAsia="標楷體" w:hAnsi="標楷體" w:cs="新細明體" w:hint="eastAsia"/>
                <w:b/>
                <w:color w:val="FF0000"/>
                <w:u w:val="single"/>
              </w:rPr>
              <w:t>定期</w:t>
            </w:r>
            <w:r w:rsidRPr="008052AF">
              <w:rPr>
                <w:rFonts w:ascii="標楷體" w:eastAsia="標楷體" w:hAnsi="標楷體" w:cs="新細明體" w:hint="eastAsia"/>
                <w:b/>
                <w:color w:val="FF0000"/>
                <w:u w:val="single"/>
              </w:rPr>
              <w:t>遷調。</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B68FB" w:rsidRPr="00ED4484" w:rsidRDefault="008B68FB" w:rsidP="00DC46BD">
            <w:pPr>
              <w:pStyle w:val="a6"/>
              <w:adjustRightInd w:val="0"/>
              <w:snapToGrid w:val="0"/>
              <w:ind w:leftChars="0" w:hangingChars="200" w:hanging="480"/>
              <w:jc w:val="both"/>
              <w:rPr>
                <w:rFonts w:ascii="標楷體" w:eastAsia="標楷體" w:hAnsi="標楷體"/>
              </w:rPr>
            </w:pPr>
            <w:r>
              <w:rPr>
                <w:rFonts w:ascii="標楷體" w:eastAsia="標楷體" w:hAnsi="標楷體" w:hint="eastAsia"/>
                <w:kern w:val="0"/>
              </w:rPr>
              <w:t>六、</w:t>
            </w:r>
            <w:r w:rsidRPr="00ED4484">
              <w:rPr>
                <w:rFonts w:ascii="標楷體" w:eastAsia="標楷體" w:hAnsi="標楷體" w:hint="eastAsia"/>
              </w:rPr>
              <w:t>本校職員應配合職務性質及業務需要實施下列各種遷調：</w:t>
            </w:r>
          </w:p>
          <w:p w:rsidR="008B68FB" w:rsidRPr="00ED4484" w:rsidRDefault="008B68FB" w:rsidP="00DC46BD">
            <w:pPr>
              <w:pStyle w:val="a6"/>
              <w:adjustRightInd w:val="0"/>
              <w:snapToGrid w:val="0"/>
              <w:ind w:leftChars="0" w:left="0"/>
              <w:jc w:val="both"/>
              <w:rPr>
                <w:rFonts w:ascii="標楷體" w:eastAsia="標楷體" w:hAnsi="標楷體"/>
              </w:rPr>
            </w:pPr>
            <w:r>
              <w:rPr>
                <w:rFonts w:ascii="標楷體" w:eastAsia="標楷體" w:hAnsi="標楷體"/>
              </w:rPr>
              <w:t>(一)</w:t>
            </w:r>
            <w:r w:rsidRPr="00ED4484">
              <w:rPr>
                <w:rFonts w:ascii="標楷體" w:eastAsia="標楷體" w:hAnsi="標楷體" w:hint="eastAsia"/>
              </w:rPr>
              <w:t>本校簡任非主管人員間之遷調。</w:t>
            </w:r>
          </w:p>
          <w:p w:rsidR="008B68FB" w:rsidRPr="00ED4484" w:rsidRDefault="008B68FB" w:rsidP="00DC46BD">
            <w:pPr>
              <w:pStyle w:val="a6"/>
              <w:adjustRightInd w:val="0"/>
              <w:snapToGrid w:val="0"/>
              <w:ind w:leftChars="0" w:left="0"/>
              <w:jc w:val="both"/>
              <w:rPr>
                <w:rFonts w:ascii="標楷體" w:eastAsia="標楷體" w:hAnsi="標楷體"/>
              </w:rPr>
            </w:pPr>
            <w:r>
              <w:rPr>
                <w:rFonts w:ascii="標楷體" w:eastAsia="標楷體" w:hAnsi="標楷體" w:cs="新細明體"/>
              </w:rPr>
              <w:t>(二)</w:t>
            </w:r>
            <w:r w:rsidRPr="00ED4484">
              <w:rPr>
                <w:rFonts w:ascii="標楷體" w:eastAsia="標楷體" w:hAnsi="標楷體" w:cs="新細明體" w:hint="eastAsia"/>
              </w:rPr>
              <w:t>本校組長間之遷調。</w:t>
            </w:r>
          </w:p>
          <w:p w:rsidR="008B68FB" w:rsidRPr="00ED4484" w:rsidRDefault="008B68FB" w:rsidP="00DC46BD">
            <w:pPr>
              <w:pStyle w:val="a6"/>
              <w:adjustRightInd w:val="0"/>
              <w:snapToGrid w:val="0"/>
              <w:ind w:leftChars="0" w:hangingChars="200" w:hanging="480"/>
              <w:jc w:val="both"/>
              <w:rPr>
                <w:rFonts w:ascii="標楷體" w:eastAsia="標楷體" w:hAnsi="標楷體"/>
              </w:rPr>
            </w:pPr>
            <w:r>
              <w:rPr>
                <w:rFonts w:ascii="標楷體" w:eastAsia="標楷體" w:hAnsi="標楷體" w:cs="新細明體"/>
              </w:rPr>
              <w:t>(三)</w:t>
            </w:r>
            <w:r w:rsidRPr="00ED4484">
              <w:rPr>
                <w:rFonts w:ascii="標楷體" w:eastAsia="標楷體" w:hAnsi="標楷體" w:cs="新細明體" w:hint="eastAsia"/>
              </w:rPr>
              <w:t>本校</w:t>
            </w:r>
            <w:r w:rsidRPr="00ED4484">
              <w:rPr>
                <w:rFonts w:ascii="標楷體" w:eastAsia="標楷體" w:hAnsi="標楷體" w:hint="eastAsia"/>
              </w:rPr>
              <w:t>職務列等相當</w:t>
            </w:r>
            <w:r w:rsidRPr="00ED4484">
              <w:rPr>
                <w:rFonts w:ascii="標楷體" w:eastAsia="標楷體" w:hAnsi="標楷體" w:cs="新細明體" w:hint="eastAsia"/>
              </w:rPr>
              <w:t>薦任非主管人員間之遷調。</w:t>
            </w:r>
          </w:p>
          <w:p w:rsidR="008B68FB" w:rsidRDefault="008B68FB" w:rsidP="00DC46BD">
            <w:pPr>
              <w:autoSpaceDE w:val="0"/>
              <w:autoSpaceDN w:val="0"/>
              <w:adjustRightInd w:val="0"/>
              <w:snapToGrid w:val="0"/>
              <w:ind w:left="480" w:hangingChars="200" w:hanging="480"/>
              <w:rPr>
                <w:rFonts w:ascii="標楷體" w:eastAsia="標楷體" w:hAnsi="標楷體"/>
                <w:kern w:val="0"/>
              </w:rPr>
            </w:pPr>
            <w:r>
              <w:rPr>
                <w:rFonts w:ascii="標楷體" w:eastAsia="標楷體" w:hAnsi="標楷體" w:cs="新細明體" w:hint="eastAsia"/>
              </w:rPr>
              <w:t>(四)</w:t>
            </w:r>
            <w:r w:rsidRPr="00ED4484">
              <w:rPr>
                <w:rFonts w:ascii="標楷體" w:eastAsia="標楷體" w:hAnsi="標楷體" w:cs="新細明體" w:hint="eastAsia"/>
              </w:rPr>
              <w:t>本校</w:t>
            </w:r>
            <w:r w:rsidRPr="00ED4484">
              <w:rPr>
                <w:rFonts w:ascii="標楷體" w:eastAsia="標楷體" w:hAnsi="標楷體" w:hint="eastAsia"/>
              </w:rPr>
              <w:t>職務列等相當</w:t>
            </w:r>
            <w:r w:rsidRPr="00ED4484">
              <w:rPr>
                <w:rFonts w:ascii="標楷體" w:eastAsia="標楷體" w:hAnsi="標楷體" w:cs="新細明體" w:hint="eastAsia"/>
              </w:rPr>
              <w:t>委任人員間之遷調</w:t>
            </w:r>
            <w:r w:rsidRPr="00A14FC1">
              <w:rPr>
                <w:rFonts w:ascii="標楷體" w:eastAsia="標楷體" w:hAnsi="標楷體" w:hint="eastAsia"/>
                <w:kern w:val="0"/>
              </w:rPr>
              <w:t>。</w:t>
            </w:r>
          </w:p>
          <w:p w:rsidR="008B68FB" w:rsidRPr="008052AF" w:rsidRDefault="008B68FB" w:rsidP="00DC46BD">
            <w:pPr>
              <w:autoSpaceDE w:val="0"/>
              <w:autoSpaceDN w:val="0"/>
              <w:adjustRightInd w:val="0"/>
              <w:snapToGrid w:val="0"/>
              <w:rPr>
                <w:rFonts w:ascii="標楷體" w:eastAsia="標楷體" w:hAnsi="標楷體"/>
                <w:kern w:val="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B68FB" w:rsidRPr="001F4DCC" w:rsidRDefault="008B68FB" w:rsidP="00DC46BD">
            <w:pPr>
              <w:suppressAutoHyphens/>
              <w:autoSpaceDE w:val="0"/>
              <w:autoSpaceDN w:val="0"/>
              <w:adjustRightInd w:val="0"/>
              <w:spacing w:after="120" w:line="360" w:lineRule="exact"/>
              <w:ind w:right="97"/>
              <w:jc w:val="both"/>
              <w:rPr>
                <w:rFonts w:ascii="標楷體" w:eastAsia="標楷體" w:hAnsi="標楷體" w:cs="標楷體"/>
                <w:color w:val="000000"/>
                <w:kern w:val="0"/>
              </w:rPr>
            </w:pPr>
            <w:r>
              <w:rPr>
                <w:rFonts w:ascii="標楷體" w:eastAsia="標楷體" w:hAnsi="標楷體" w:cs="標楷體" w:hint="eastAsia"/>
                <w:color w:val="000000"/>
                <w:kern w:val="0"/>
              </w:rPr>
              <w:t>配合教育部111年12月21日臺教人(二)字第1110114617號書函轉知行政院「強化行政院及所屬機關(構)公立學校公務人員定期遷調參考原則」指示，應就公務人員久任廉政風險職務，訂定職務遷調之原則性規範，爰增訂該職務應配合職務性質及業務需要實施定期遷調。</w:t>
            </w:r>
          </w:p>
        </w:tc>
      </w:tr>
    </w:tbl>
    <w:p w:rsidR="008B68FB" w:rsidRPr="008B68FB" w:rsidRDefault="008B68FB" w:rsidP="008B68FB">
      <w:pPr>
        <w:adjustRightInd w:val="0"/>
        <w:snapToGrid w:val="0"/>
        <w:spacing w:line="280" w:lineRule="exact"/>
        <w:ind w:left="-120"/>
        <w:jc w:val="both"/>
      </w:pPr>
    </w:p>
    <w:sectPr w:rsidR="008B68FB" w:rsidRPr="008B68FB" w:rsidSect="00ED448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ED7" w:rsidRDefault="00D67ED7" w:rsidP="009E7662">
      <w:r>
        <w:separator/>
      </w:r>
    </w:p>
  </w:endnote>
  <w:endnote w:type="continuationSeparator" w:id="0">
    <w:p w:rsidR="00D67ED7" w:rsidRDefault="00D67ED7" w:rsidP="009E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3">
    <w:altName w:val="Microsoft JhengHei UI Light"/>
    <w:charset w:val="88"/>
    <w:family w:val="script"/>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ED7" w:rsidRDefault="00D67ED7" w:rsidP="009E7662">
      <w:r>
        <w:separator/>
      </w:r>
    </w:p>
  </w:footnote>
  <w:footnote w:type="continuationSeparator" w:id="0">
    <w:p w:rsidR="00D67ED7" w:rsidRDefault="00D67ED7" w:rsidP="009E76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E47AD"/>
    <w:multiLevelType w:val="hybridMultilevel"/>
    <w:tmpl w:val="97DA15CA"/>
    <w:lvl w:ilvl="0" w:tplc="9B2C5432">
      <w:start w:val="1"/>
      <w:numFmt w:val="taiwaneseCountingThousand"/>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 w15:restartNumberingAfterBreak="0">
    <w:nsid w:val="18BC1277"/>
    <w:multiLevelType w:val="hybridMultilevel"/>
    <w:tmpl w:val="5E1A5FA0"/>
    <w:lvl w:ilvl="0" w:tplc="001A5A8E">
      <w:start w:val="1"/>
      <w:numFmt w:val="taiwaneseCountingThousand"/>
      <w:lvlText w:val="（%1）"/>
      <w:lvlJc w:val="left"/>
      <w:pPr>
        <w:ind w:left="600" w:hanging="720"/>
      </w:pPr>
      <w:rPr>
        <w:rFonts w:hint="eastAsia"/>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 w15:restartNumberingAfterBreak="0">
    <w:nsid w:val="26B17FE4"/>
    <w:multiLevelType w:val="hybridMultilevel"/>
    <w:tmpl w:val="5E1A5FA0"/>
    <w:lvl w:ilvl="0" w:tplc="001A5A8E">
      <w:start w:val="1"/>
      <w:numFmt w:val="taiwaneseCountingThousand"/>
      <w:lvlText w:val="（%1）"/>
      <w:lvlJc w:val="left"/>
      <w:pPr>
        <w:ind w:left="600" w:hanging="720"/>
      </w:pPr>
      <w:rPr>
        <w:rFonts w:hint="eastAsia"/>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3" w15:restartNumberingAfterBreak="0">
    <w:nsid w:val="377D02D8"/>
    <w:multiLevelType w:val="hybridMultilevel"/>
    <w:tmpl w:val="5E1A5FA0"/>
    <w:lvl w:ilvl="0" w:tplc="001A5A8E">
      <w:start w:val="1"/>
      <w:numFmt w:val="taiwaneseCountingThousand"/>
      <w:lvlText w:val="（%1）"/>
      <w:lvlJc w:val="left"/>
      <w:pPr>
        <w:ind w:left="600" w:hanging="720"/>
      </w:pPr>
      <w:rPr>
        <w:rFonts w:hint="eastAsia"/>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4" w15:restartNumberingAfterBreak="0">
    <w:nsid w:val="652C0CD1"/>
    <w:multiLevelType w:val="hybridMultilevel"/>
    <w:tmpl w:val="5E1A5FA0"/>
    <w:lvl w:ilvl="0" w:tplc="001A5A8E">
      <w:start w:val="1"/>
      <w:numFmt w:val="taiwaneseCountingThousand"/>
      <w:lvlText w:val="（%1）"/>
      <w:lvlJc w:val="left"/>
      <w:pPr>
        <w:ind w:left="600" w:hanging="720"/>
      </w:pPr>
      <w:rPr>
        <w:rFonts w:hint="eastAsia"/>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5" w15:restartNumberingAfterBreak="0">
    <w:nsid w:val="6D465C0E"/>
    <w:multiLevelType w:val="hybridMultilevel"/>
    <w:tmpl w:val="89146D0A"/>
    <w:lvl w:ilvl="0" w:tplc="918E6A02">
      <w:start w:val="1"/>
      <w:numFmt w:val="taiwaneseCountingThousand"/>
      <w:lvlText w:val="%1、"/>
      <w:lvlJc w:val="left"/>
      <w:pPr>
        <w:ind w:left="360" w:hanging="480"/>
      </w:pPr>
      <w:rPr>
        <w:rFonts w:ascii="標楷體" w:eastAsia="標楷體" w:hAnsi="標楷體" w:hint="eastAsia"/>
        <w:b w:val="0"/>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6" w15:restartNumberingAfterBreak="0">
    <w:nsid w:val="79E80D2D"/>
    <w:multiLevelType w:val="hybridMultilevel"/>
    <w:tmpl w:val="BE2049AC"/>
    <w:lvl w:ilvl="0" w:tplc="4296EA8C">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84"/>
    <w:rsid w:val="00020A04"/>
    <w:rsid w:val="000422D1"/>
    <w:rsid w:val="000A7B77"/>
    <w:rsid w:val="000C5B6E"/>
    <w:rsid w:val="000D44F2"/>
    <w:rsid w:val="001245F2"/>
    <w:rsid w:val="001A19DF"/>
    <w:rsid w:val="002078BF"/>
    <w:rsid w:val="00233013"/>
    <w:rsid w:val="003D1128"/>
    <w:rsid w:val="00447583"/>
    <w:rsid w:val="00454ECD"/>
    <w:rsid w:val="00587071"/>
    <w:rsid w:val="005D6411"/>
    <w:rsid w:val="00650B0E"/>
    <w:rsid w:val="0073050A"/>
    <w:rsid w:val="0078696B"/>
    <w:rsid w:val="007D3372"/>
    <w:rsid w:val="008005C2"/>
    <w:rsid w:val="008579B2"/>
    <w:rsid w:val="008679EE"/>
    <w:rsid w:val="00874871"/>
    <w:rsid w:val="00875698"/>
    <w:rsid w:val="008B68FB"/>
    <w:rsid w:val="008D0B99"/>
    <w:rsid w:val="00903575"/>
    <w:rsid w:val="00953A48"/>
    <w:rsid w:val="009E7662"/>
    <w:rsid w:val="00A21DA6"/>
    <w:rsid w:val="00A823B0"/>
    <w:rsid w:val="00B44B9C"/>
    <w:rsid w:val="00BD2CFA"/>
    <w:rsid w:val="00C57BC3"/>
    <w:rsid w:val="00CE4400"/>
    <w:rsid w:val="00D422E4"/>
    <w:rsid w:val="00D67ED7"/>
    <w:rsid w:val="00D75CDB"/>
    <w:rsid w:val="00E24440"/>
    <w:rsid w:val="00E52AF1"/>
    <w:rsid w:val="00EC42B7"/>
    <w:rsid w:val="00ED4484"/>
    <w:rsid w:val="00EE2191"/>
    <w:rsid w:val="00EE6EA6"/>
    <w:rsid w:val="00F27091"/>
    <w:rsid w:val="00FA6D53"/>
    <w:rsid w:val="00FB60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3B36E"/>
  <w15:docId w15:val="{DC8E53BF-5B59-458C-B26F-0135E30C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48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4484"/>
    <w:pPr>
      <w:spacing w:line="0" w:lineRule="atLeast"/>
      <w:jc w:val="center"/>
    </w:pPr>
    <w:rPr>
      <w:rFonts w:eastAsia="標楷體" w:hAnsi="標楷體"/>
      <w:b/>
    </w:rPr>
  </w:style>
  <w:style w:type="character" w:customStyle="1" w:styleId="a4">
    <w:name w:val="本文 字元"/>
    <w:basedOn w:val="a0"/>
    <w:link w:val="a3"/>
    <w:rsid w:val="00ED4484"/>
    <w:rPr>
      <w:rFonts w:ascii="Times New Roman" w:eastAsia="標楷體" w:hAnsi="標楷體" w:cs="Times New Roman"/>
      <w:b/>
      <w:szCs w:val="24"/>
    </w:rPr>
  </w:style>
  <w:style w:type="character" w:styleId="a5">
    <w:name w:val="Strong"/>
    <w:basedOn w:val="a0"/>
    <w:qFormat/>
    <w:rsid w:val="00ED4484"/>
    <w:rPr>
      <w:b/>
      <w:bCs/>
    </w:rPr>
  </w:style>
  <w:style w:type="paragraph" w:styleId="a6">
    <w:name w:val="List Paragraph"/>
    <w:basedOn w:val="a"/>
    <w:uiPriority w:val="34"/>
    <w:qFormat/>
    <w:rsid w:val="00ED4484"/>
    <w:pPr>
      <w:ind w:leftChars="200" w:left="480"/>
    </w:pPr>
  </w:style>
  <w:style w:type="paragraph" w:styleId="a7">
    <w:name w:val="header"/>
    <w:basedOn w:val="a"/>
    <w:link w:val="a8"/>
    <w:uiPriority w:val="99"/>
    <w:unhideWhenUsed/>
    <w:rsid w:val="009E7662"/>
    <w:pPr>
      <w:tabs>
        <w:tab w:val="center" w:pos="4153"/>
        <w:tab w:val="right" w:pos="8306"/>
      </w:tabs>
      <w:snapToGrid w:val="0"/>
    </w:pPr>
    <w:rPr>
      <w:sz w:val="20"/>
      <w:szCs w:val="20"/>
    </w:rPr>
  </w:style>
  <w:style w:type="character" w:customStyle="1" w:styleId="a8">
    <w:name w:val="頁首 字元"/>
    <w:basedOn w:val="a0"/>
    <w:link w:val="a7"/>
    <w:uiPriority w:val="99"/>
    <w:rsid w:val="009E7662"/>
    <w:rPr>
      <w:rFonts w:ascii="Times New Roman" w:eastAsia="新細明體" w:hAnsi="Times New Roman" w:cs="Times New Roman"/>
      <w:sz w:val="20"/>
      <w:szCs w:val="20"/>
    </w:rPr>
  </w:style>
  <w:style w:type="paragraph" w:styleId="a9">
    <w:name w:val="footer"/>
    <w:basedOn w:val="a"/>
    <w:link w:val="aa"/>
    <w:uiPriority w:val="99"/>
    <w:unhideWhenUsed/>
    <w:rsid w:val="009E7662"/>
    <w:pPr>
      <w:tabs>
        <w:tab w:val="center" w:pos="4153"/>
        <w:tab w:val="right" w:pos="8306"/>
      </w:tabs>
      <w:snapToGrid w:val="0"/>
    </w:pPr>
    <w:rPr>
      <w:sz w:val="20"/>
      <w:szCs w:val="20"/>
    </w:rPr>
  </w:style>
  <w:style w:type="character" w:customStyle="1" w:styleId="aa">
    <w:name w:val="頁尾 字元"/>
    <w:basedOn w:val="a0"/>
    <w:link w:val="a9"/>
    <w:uiPriority w:val="99"/>
    <w:rsid w:val="009E766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秘書室</dc:creator>
  <cp:lastModifiedBy>user</cp:lastModifiedBy>
  <cp:revision>24</cp:revision>
  <cp:lastPrinted>2015-06-24T03:51:00Z</cp:lastPrinted>
  <dcterms:created xsi:type="dcterms:W3CDTF">2015-06-17T06:12:00Z</dcterms:created>
  <dcterms:modified xsi:type="dcterms:W3CDTF">2023-03-15T05:59:00Z</dcterms:modified>
</cp:coreProperties>
</file>